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仿宋_GB2312"/>
          <w:sz w:val="24"/>
          <w:szCs w:val="22"/>
        </w:rPr>
      </w:pPr>
      <w:r>
        <w:rPr>
          <w:rStyle w:val="38"/>
          <w:rFonts w:eastAsia="方正小标宋简体"/>
          <w:b w:val="0"/>
          <w:color w:val="auto"/>
          <w:sz w:val="36"/>
          <w:szCs w:val="36"/>
        </w:rPr>
        <w:t>浙江省科学技术奖公示信息表</w:t>
      </w:r>
    </w:p>
    <w:p>
      <w:pPr>
        <w:spacing w:line="440" w:lineRule="exact"/>
        <w:rPr>
          <w:rFonts w:eastAsia="仿宋_GB2312"/>
          <w:sz w:val="32"/>
          <w:szCs w:val="32"/>
        </w:rPr>
      </w:pPr>
      <w:r>
        <w:rPr>
          <w:rFonts w:hint="eastAsia" w:eastAsia="仿宋_GB2312"/>
          <w:sz w:val="24"/>
          <w:szCs w:val="22"/>
        </w:rPr>
        <w:t>提名奖</w:t>
      </w:r>
      <w:r>
        <w:rPr>
          <w:rFonts w:hint="eastAsia" w:ascii="仿宋_GB2312" w:eastAsia="仿宋_GB2312"/>
          <w:sz w:val="24"/>
          <w:szCs w:val="24"/>
        </w:rPr>
        <w:t>项：科学技术进步奖</w:t>
      </w:r>
    </w:p>
    <w:tbl>
      <w:tblPr>
        <w:tblStyle w:val="23"/>
        <w:tblW w:w="89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33"/>
        <w:gridCol w:w="69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7" w:hRule="atLeast"/>
          <w:jc w:val="center"/>
        </w:trPr>
        <w:tc>
          <w:tcPr>
            <w:tcW w:w="1933" w:type="dxa"/>
            <w:vAlign w:val="center"/>
          </w:tcPr>
          <w:p>
            <w:pPr>
              <w:contextualSpacing/>
              <w:jc w:val="center"/>
              <w:rPr>
                <w:rStyle w:val="38"/>
                <w:rFonts w:eastAsia="黑体"/>
                <w:b w:val="0"/>
                <w:color w:val="auto"/>
              </w:rPr>
            </w:pPr>
            <w:r>
              <w:rPr>
                <w:rStyle w:val="38"/>
                <w:rFonts w:eastAsia="黑体"/>
                <w:b w:val="0"/>
                <w:bCs w:val="0"/>
                <w:color w:val="auto"/>
              </w:rPr>
              <w:t>成果名称</w:t>
            </w:r>
          </w:p>
        </w:tc>
        <w:tc>
          <w:tcPr>
            <w:tcW w:w="6987" w:type="dxa"/>
            <w:vAlign w:val="center"/>
          </w:tcPr>
          <w:p>
            <w:pPr>
              <w:spacing w:line="440" w:lineRule="exact"/>
              <w:jc w:val="center"/>
              <w:rPr>
                <w:rFonts w:eastAsia="仿宋_GB2312"/>
                <w:sz w:val="24"/>
                <w:szCs w:val="24"/>
              </w:rPr>
            </w:pPr>
            <w:r>
              <w:rPr>
                <w:rFonts w:hint="eastAsia" w:eastAsia="仿宋_GB2312"/>
                <w:sz w:val="24"/>
                <w:szCs w:val="24"/>
              </w:rPr>
              <w:t>多功能水性纳米阻隔涂层关键技术创新与应用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8" w:hRule="atLeast"/>
          <w:jc w:val="center"/>
        </w:trPr>
        <w:tc>
          <w:tcPr>
            <w:tcW w:w="1933" w:type="dxa"/>
            <w:vAlign w:val="center"/>
          </w:tcPr>
          <w:p>
            <w:pPr>
              <w:contextualSpacing/>
              <w:jc w:val="center"/>
              <w:rPr>
                <w:rStyle w:val="38"/>
                <w:rFonts w:eastAsia="黑体"/>
                <w:b w:val="0"/>
                <w:color w:val="auto"/>
              </w:rPr>
            </w:pPr>
            <w:r>
              <w:rPr>
                <w:rStyle w:val="38"/>
                <w:rFonts w:eastAsia="黑体"/>
                <w:b w:val="0"/>
                <w:bCs w:val="0"/>
                <w:color w:val="auto"/>
              </w:rPr>
              <w:t>提名等级</w:t>
            </w:r>
          </w:p>
        </w:tc>
        <w:tc>
          <w:tcPr>
            <w:tcW w:w="6987" w:type="dxa"/>
            <w:vAlign w:val="center"/>
          </w:tcPr>
          <w:p>
            <w:pPr>
              <w:spacing w:line="440" w:lineRule="exact"/>
              <w:jc w:val="center"/>
              <w:rPr>
                <w:rFonts w:eastAsia="仿宋_GB2312"/>
                <w:sz w:val="24"/>
                <w:szCs w:val="24"/>
              </w:rPr>
            </w:pPr>
            <w:r>
              <w:rPr>
                <w:rFonts w:hint="eastAsia" w:eastAsia="仿宋_GB2312"/>
                <w:sz w:val="24"/>
                <w:szCs w:val="24"/>
              </w:rPr>
              <w:t>二等奖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49" w:hRule="atLeast"/>
          <w:jc w:val="center"/>
        </w:trPr>
        <w:tc>
          <w:tcPr>
            <w:tcW w:w="1933" w:type="dxa"/>
            <w:vAlign w:val="center"/>
          </w:tcPr>
          <w:p>
            <w:pPr>
              <w:contextualSpacing/>
              <w:jc w:val="center"/>
              <w:rPr>
                <w:rFonts w:eastAsia="黑体"/>
                <w:bCs/>
                <w:sz w:val="24"/>
                <w:szCs w:val="24"/>
              </w:rPr>
            </w:pPr>
            <w:r>
              <w:rPr>
                <w:rFonts w:eastAsia="黑体"/>
                <w:bCs/>
                <w:sz w:val="24"/>
                <w:szCs w:val="24"/>
              </w:rPr>
              <w:t>提名书</w:t>
            </w:r>
          </w:p>
          <w:p>
            <w:pPr>
              <w:contextualSpacing/>
              <w:jc w:val="center"/>
              <w:rPr>
                <w:rFonts w:eastAsia="黑体"/>
                <w:bCs/>
                <w:sz w:val="24"/>
                <w:szCs w:val="24"/>
              </w:rPr>
            </w:pPr>
            <w:r>
              <w:rPr>
                <w:rFonts w:eastAsia="黑体"/>
                <w:bCs/>
                <w:sz w:val="24"/>
                <w:szCs w:val="24"/>
              </w:rPr>
              <w:t>相关内容</w:t>
            </w:r>
          </w:p>
        </w:tc>
        <w:tc>
          <w:tcPr>
            <w:tcW w:w="6987" w:type="dxa"/>
            <w:vAlign w:val="center"/>
          </w:tcPr>
          <w:p>
            <w:pPr>
              <w:rPr>
                <w:rFonts w:eastAsia="仿宋_GB2312"/>
                <w:b/>
                <w:bCs/>
                <w:sz w:val="24"/>
                <w:szCs w:val="24"/>
              </w:rPr>
            </w:pPr>
            <w:r>
              <w:rPr>
                <w:rFonts w:hint="eastAsia" w:eastAsia="仿宋" w:cs="黑体"/>
                <w:b/>
                <w:bCs/>
                <w:sz w:val="24"/>
                <w:szCs w:val="24"/>
              </w:rPr>
              <w:t>1.</w:t>
            </w:r>
            <w:r>
              <w:rPr>
                <w:rFonts w:hint="eastAsia" w:eastAsia="仿宋_GB2312"/>
                <w:b/>
                <w:bCs/>
                <w:sz w:val="24"/>
                <w:szCs w:val="24"/>
              </w:rPr>
              <w:t>主要知识产权目录：</w:t>
            </w:r>
          </w:p>
          <w:p>
            <w:pPr>
              <w:rPr>
                <w:rFonts w:eastAsia="仿宋_GB2312"/>
                <w:sz w:val="24"/>
                <w:szCs w:val="24"/>
              </w:rPr>
            </w:pPr>
            <w:r>
              <w:rPr>
                <w:rFonts w:hint="eastAsia" w:eastAsia="仿宋_GB2312"/>
                <w:sz w:val="24"/>
                <w:szCs w:val="24"/>
              </w:rPr>
              <w:t>发明专利：</w:t>
            </w:r>
          </w:p>
          <w:p>
            <w:pPr>
              <w:rPr>
                <w:rFonts w:eastAsia="仿宋_GB2312"/>
                <w:sz w:val="24"/>
                <w:szCs w:val="24"/>
              </w:rPr>
            </w:pPr>
            <w:r>
              <w:rPr>
                <w:rFonts w:hint="eastAsia" w:eastAsia="仿宋_GB2312"/>
                <w:sz w:val="24"/>
                <w:szCs w:val="24"/>
              </w:rPr>
              <w:t>（1）一种涂料、涂布纸及其制备方法、纸杯，专利号2021103150833</w:t>
            </w:r>
          </w:p>
          <w:p>
            <w:pPr>
              <w:rPr>
                <w:rFonts w:eastAsia="仿宋_GB2312"/>
                <w:sz w:val="24"/>
                <w:szCs w:val="24"/>
              </w:rPr>
            </w:pPr>
            <w:r>
              <w:rPr>
                <w:rFonts w:hint="eastAsia" w:eastAsia="仿宋_GB2312"/>
                <w:sz w:val="24"/>
                <w:szCs w:val="24"/>
              </w:rPr>
              <w:t>（2）一种石墨烯的制备方法，ZL201510057842.5</w:t>
            </w:r>
          </w:p>
          <w:p>
            <w:pPr>
              <w:rPr>
                <w:rFonts w:eastAsia="仿宋_GB2312"/>
                <w:sz w:val="24"/>
                <w:szCs w:val="24"/>
              </w:rPr>
            </w:pPr>
            <w:r>
              <w:rPr>
                <w:rFonts w:hint="eastAsia" w:eastAsia="仿宋_GB2312"/>
                <w:sz w:val="24"/>
                <w:szCs w:val="24"/>
              </w:rPr>
              <w:t>（3）一种三维石墨烯宏观体及其制备方法，201610172262.5</w:t>
            </w:r>
          </w:p>
          <w:p>
            <w:pPr>
              <w:rPr>
                <w:rFonts w:eastAsia="仿宋_GB2312"/>
                <w:sz w:val="24"/>
                <w:szCs w:val="24"/>
              </w:rPr>
            </w:pPr>
            <w:r>
              <w:rPr>
                <w:rFonts w:hint="eastAsia" w:eastAsia="仿宋_GB2312"/>
                <w:sz w:val="24"/>
                <w:szCs w:val="24"/>
              </w:rPr>
              <w:t>（4）一种有序结构石墨烯材料及制备方法，201610607645.0</w:t>
            </w:r>
          </w:p>
          <w:p>
            <w:pPr>
              <w:rPr>
                <w:rFonts w:eastAsia="仿宋_GB2312"/>
                <w:sz w:val="24"/>
                <w:szCs w:val="24"/>
              </w:rPr>
            </w:pPr>
          </w:p>
          <w:p>
            <w:pPr>
              <w:rPr>
                <w:rFonts w:eastAsia="仿宋_GB2312"/>
                <w:b/>
                <w:bCs/>
                <w:sz w:val="24"/>
                <w:szCs w:val="24"/>
              </w:rPr>
            </w:pPr>
            <w:r>
              <w:rPr>
                <w:rFonts w:hint="eastAsia" w:eastAsia="仿宋_GB2312"/>
                <w:b/>
                <w:bCs/>
                <w:sz w:val="24"/>
                <w:szCs w:val="24"/>
              </w:rPr>
              <w:t>2.代表性论文专著目录：</w:t>
            </w:r>
          </w:p>
          <w:p>
            <w:pPr>
              <w:rPr>
                <w:rFonts w:eastAsia="仿宋_GB2312"/>
                <w:sz w:val="24"/>
                <w:szCs w:val="24"/>
              </w:rPr>
            </w:pPr>
            <w:r>
              <w:rPr>
                <w:rFonts w:hint="eastAsia" w:eastAsia="仿宋_GB2312"/>
                <w:sz w:val="24"/>
                <w:szCs w:val="24"/>
              </w:rPr>
              <w:t>（1）叶春洁、蒋燕飞、王俊明。利用石墨烯开发造纸水性阻隔涂料的研究。2019,31(1),1-5.</w:t>
            </w:r>
          </w:p>
          <w:p>
            <w:pPr>
              <w:rPr>
                <w:rFonts w:eastAsia="仿宋"/>
                <w:sz w:val="24"/>
                <w:szCs w:val="24"/>
              </w:rPr>
            </w:pPr>
            <w:r>
              <w:rPr>
                <w:rFonts w:eastAsia="仿宋"/>
                <w:sz w:val="24"/>
                <w:szCs w:val="24"/>
              </w:rPr>
              <w:t>（2）Qile Fang, Xufeng Zhou, Wei Deng, Zhaoping Liu, Ordered self-assembly of amphipathic graphene nanosheets into three-dimensional layered architectures. Nanoscale 2016, 8, 197.</w:t>
            </w:r>
          </w:p>
          <w:p>
            <w:pPr>
              <w:rPr>
                <w:rFonts w:eastAsia="仿宋"/>
                <w:sz w:val="24"/>
                <w:szCs w:val="24"/>
              </w:rPr>
            </w:pPr>
            <w:r>
              <w:rPr>
                <w:rFonts w:eastAsia="仿宋"/>
                <w:sz w:val="24"/>
                <w:szCs w:val="24"/>
              </w:rPr>
              <w:t>（3）Wei Deng, Qile Fang, Xufeng Zhou, Hailiang Cao</w:t>
            </w:r>
            <w:r>
              <w:rPr>
                <w:rFonts w:hint="eastAsia" w:eastAsia="仿宋"/>
                <w:sz w:val="24"/>
                <w:szCs w:val="24"/>
              </w:rPr>
              <w:t>,</w:t>
            </w:r>
            <w:r>
              <w:rPr>
                <w:rFonts w:eastAsia="仿宋"/>
                <w:sz w:val="24"/>
                <w:szCs w:val="24"/>
              </w:rPr>
              <w:t xml:space="preserve"> Zhaoping Liu, Hydrothermal self-assembly of graphene foams with controllable pore size. RSC Advances 2016, 6 (25), 20843.</w:t>
            </w:r>
          </w:p>
          <w:p>
            <w:pPr>
              <w:rPr>
                <w:rFonts w:eastAsia="仿宋"/>
                <w:sz w:val="24"/>
                <w:szCs w:val="24"/>
              </w:rPr>
            </w:pPr>
            <w:r>
              <w:rPr>
                <w:rFonts w:eastAsia="仿宋"/>
                <w:sz w:val="24"/>
                <w:szCs w:val="24"/>
              </w:rPr>
              <w:t>（4）Zhongqing Luo, Qile Fang, Xueyan Xu, D.Vasanth Raj, Xufeng Zhou, Zhaoping Liu, Attapulgite Nanofibers and Graphene Oxide Composite Membrane for High-Performance Molecular Separation. Journal of colloid and interface science 2019, 545, 276.</w:t>
            </w:r>
          </w:p>
          <w:p>
            <w:pPr>
              <w:rPr>
                <w:rFonts w:eastAsia="仿宋"/>
                <w:sz w:val="24"/>
                <w:szCs w:val="24"/>
              </w:rPr>
            </w:pPr>
          </w:p>
          <w:p>
            <w:pPr>
              <w:rPr>
                <w:rFonts w:eastAsia="仿宋_GB2312"/>
                <w:b/>
                <w:bCs/>
                <w:sz w:val="24"/>
                <w:szCs w:val="24"/>
              </w:rPr>
            </w:pPr>
            <w:r>
              <w:rPr>
                <w:rFonts w:hint="eastAsia" w:eastAsia="仿宋_GB2312"/>
                <w:b/>
                <w:bCs/>
                <w:sz w:val="24"/>
                <w:szCs w:val="24"/>
              </w:rPr>
              <w:t>3.标准：</w:t>
            </w:r>
          </w:p>
          <w:p>
            <w:pPr>
              <w:rPr>
                <w:rFonts w:eastAsia="仿宋_GB2312"/>
                <w:sz w:val="24"/>
                <w:szCs w:val="24"/>
              </w:rPr>
            </w:pPr>
            <w:r>
              <w:rPr>
                <w:rFonts w:hint="eastAsia" w:eastAsia="仿宋_GB2312"/>
                <w:sz w:val="24"/>
                <w:szCs w:val="24"/>
              </w:rPr>
              <w:t>（1）《水性涂层纸杯（含水性涂层纸杯纸）》，团体标准，T CPA001-2021；</w:t>
            </w:r>
          </w:p>
          <w:p>
            <w:pPr>
              <w:rPr>
                <w:rFonts w:eastAsia="仿宋_GB2312"/>
                <w:sz w:val="24"/>
                <w:szCs w:val="24"/>
              </w:rPr>
            </w:pPr>
            <w:r>
              <w:rPr>
                <w:rFonts w:hint="eastAsia" w:eastAsia="仿宋_GB2312"/>
                <w:sz w:val="24"/>
                <w:szCs w:val="24"/>
              </w:rPr>
              <w:t>（2）《纸杯原纸》，行业标准，QB/T4032-2022；</w:t>
            </w:r>
          </w:p>
          <w:p>
            <w:pPr>
              <w:rPr>
                <w:rFonts w:eastAsia="仿宋" w:cs="黑体"/>
                <w:bCs/>
                <w:color w:val="FF0000"/>
                <w:sz w:val="24"/>
                <w:szCs w:val="24"/>
              </w:rPr>
            </w:pPr>
            <w:r>
              <w:rPr>
                <w:rFonts w:hint="eastAsia" w:eastAsia="仿宋_GB2312"/>
                <w:sz w:val="24"/>
                <w:szCs w:val="24"/>
              </w:rPr>
              <w:t>（3）《纸、纸板和纸浆光学性能基本术语》，国家标准，GB/T 41434-2022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07" w:hRule="atLeast"/>
          <w:jc w:val="center"/>
        </w:trPr>
        <w:tc>
          <w:tcPr>
            <w:tcW w:w="1933" w:type="dxa"/>
            <w:tcBorders>
              <w:right w:val="single" w:color="auto" w:sz="4" w:space="0"/>
            </w:tcBorders>
            <w:vAlign w:val="center"/>
          </w:tcPr>
          <w:p>
            <w:pPr>
              <w:contextualSpacing/>
              <w:jc w:val="center"/>
              <w:rPr>
                <w:rFonts w:eastAsia="黑体"/>
                <w:bCs/>
                <w:sz w:val="24"/>
                <w:szCs w:val="24"/>
              </w:rPr>
            </w:pPr>
            <w:r>
              <w:rPr>
                <w:rFonts w:eastAsia="黑体"/>
                <w:bCs/>
                <w:sz w:val="24"/>
                <w:szCs w:val="24"/>
              </w:rPr>
              <w:t>主要完成人</w:t>
            </w:r>
          </w:p>
        </w:tc>
        <w:tc>
          <w:tcPr>
            <w:tcW w:w="6987" w:type="dxa"/>
            <w:tcBorders>
              <w:left w:val="single" w:color="auto" w:sz="4" w:space="0"/>
            </w:tcBorders>
            <w:vAlign w:val="center"/>
          </w:tcPr>
          <w:p>
            <w:pPr>
              <w:rPr>
                <w:rFonts w:eastAsia="仿宋_GB2312"/>
                <w:sz w:val="24"/>
                <w:szCs w:val="24"/>
              </w:rPr>
            </w:pPr>
            <w:r>
              <w:rPr>
                <w:rFonts w:hint="eastAsia" w:eastAsia="仿宋_GB2312"/>
                <w:sz w:val="24"/>
                <w:szCs w:val="24"/>
              </w:rPr>
              <w:t>王俊明，排名1，高级工程师，宁波亚洲浆纸业有限公司；</w:t>
            </w:r>
          </w:p>
          <w:p>
            <w:pPr>
              <w:rPr>
                <w:rFonts w:eastAsia="仿宋_GB2312"/>
                <w:sz w:val="24"/>
                <w:szCs w:val="24"/>
              </w:rPr>
            </w:pPr>
            <w:r>
              <w:rPr>
                <w:rFonts w:hint="eastAsia" w:eastAsia="仿宋_GB2312"/>
                <w:sz w:val="24"/>
                <w:szCs w:val="24"/>
              </w:rPr>
              <w:t>叶春洁，排名2，中级工程师，宁波亚洲浆纸业有限公司；</w:t>
            </w:r>
          </w:p>
          <w:p>
            <w:pPr>
              <w:rPr>
                <w:rFonts w:eastAsia="仿宋_GB2312"/>
                <w:sz w:val="24"/>
                <w:szCs w:val="24"/>
              </w:rPr>
            </w:pPr>
            <w:r>
              <w:rPr>
                <w:rFonts w:hint="eastAsia" w:eastAsia="仿宋_GB2312"/>
                <w:sz w:val="24"/>
                <w:szCs w:val="24"/>
              </w:rPr>
              <w:t>刘兆平，排名3，研究员，中国科学院宁波材料技术与工程研究所；</w:t>
            </w:r>
          </w:p>
          <w:p>
            <w:pPr>
              <w:rPr>
                <w:rFonts w:eastAsia="仿宋_GB2312"/>
                <w:sz w:val="24"/>
                <w:szCs w:val="24"/>
              </w:rPr>
            </w:pPr>
            <w:r>
              <w:rPr>
                <w:rFonts w:hint="eastAsia" w:eastAsia="仿宋_GB2312"/>
                <w:sz w:val="24"/>
                <w:szCs w:val="24"/>
              </w:rPr>
              <w:t>周旭峰，排名4，研究员，中国科学院宁波材料技术与工程研究所；</w:t>
            </w:r>
          </w:p>
          <w:p>
            <w:pPr>
              <w:rPr>
                <w:rFonts w:eastAsia="仿宋_GB2312"/>
                <w:sz w:val="24"/>
                <w:szCs w:val="24"/>
              </w:rPr>
            </w:pPr>
            <w:r>
              <w:rPr>
                <w:rFonts w:hint="eastAsia" w:eastAsia="仿宋_GB2312"/>
                <w:sz w:val="24"/>
                <w:szCs w:val="24"/>
              </w:rPr>
              <w:t>蒋燕飞，排名5，初级工程师，宁波亚洲浆纸业有限公司；</w:t>
            </w:r>
          </w:p>
          <w:p>
            <w:pPr>
              <w:rPr>
                <w:rFonts w:eastAsia="仿宋_GB2312"/>
                <w:sz w:val="24"/>
                <w:szCs w:val="24"/>
              </w:rPr>
            </w:pPr>
            <w:r>
              <w:rPr>
                <w:rFonts w:hint="eastAsia" w:eastAsia="仿宋_GB2312"/>
                <w:sz w:val="24"/>
                <w:szCs w:val="24"/>
              </w:rPr>
              <w:t>秦志鸿，排名6，高级工程师，中国科学院宁波材料技术与工程研究所；</w:t>
            </w:r>
          </w:p>
          <w:p>
            <w:pPr>
              <w:rPr>
                <w:rFonts w:eastAsia="仿宋_GB2312"/>
                <w:sz w:val="24"/>
                <w:szCs w:val="24"/>
              </w:rPr>
            </w:pPr>
            <w:r>
              <w:rPr>
                <w:rFonts w:hint="eastAsia" w:eastAsia="仿宋_GB2312"/>
                <w:sz w:val="24"/>
                <w:szCs w:val="24"/>
              </w:rPr>
              <w:t>田维实，排名7，初级工程师，宁波亚洲浆纸业有限公司；</w:t>
            </w:r>
          </w:p>
          <w:p>
            <w:pPr>
              <w:rPr>
                <w:rFonts w:eastAsia="仿宋_GB2312"/>
                <w:sz w:val="24"/>
                <w:szCs w:val="24"/>
              </w:rPr>
            </w:pPr>
            <w:r>
              <w:rPr>
                <w:rFonts w:hint="eastAsia" w:eastAsia="仿宋_GB2312"/>
                <w:sz w:val="24"/>
                <w:szCs w:val="24"/>
              </w:rPr>
              <w:t>周雪林，排名8，高级工程师，宁波亚洲浆纸业有限公司；</w:t>
            </w:r>
          </w:p>
          <w:p>
            <w:pPr>
              <w:rPr>
                <w:rFonts w:eastAsia="仿宋_GB2312"/>
                <w:sz w:val="24"/>
                <w:szCs w:val="24"/>
              </w:rPr>
            </w:pPr>
            <w:r>
              <w:rPr>
                <w:rFonts w:hint="eastAsia" w:eastAsia="仿宋_GB2312"/>
                <w:sz w:val="24"/>
                <w:szCs w:val="24"/>
              </w:rPr>
              <w:t>仇如全，排名9，中级工程师，宁波亚洲浆纸业有限公司；</w:t>
            </w:r>
          </w:p>
          <w:p>
            <w:pPr>
              <w:tabs>
                <w:tab w:val="center" w:pos="3152"/>
              </w:tabs>
              <w:contextualSpacing/>
              <w:rPr>
                <w:rFonts w:eastAsia="仿宋" w:cs="黑体"/>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90" w:hRule="atLeast"/>
          <w:jc w:val="center"/>
        </w:trPr>
        <w:tc>
          <w:tcPr>
            <w:tcW w:w="1933" w:type="dxa"/>
            <w:tcBorders>
              <w:right w:val="single" w:color="auto" w:sz="4" w:space="0"/>
            </w:tcBorders>
            <w:vAlign w:val="center"/>
          </w:tcPr>
          <w:p>
            <w:pPr>
              <w:contextualSpacing/>
              <w:jc w:val="center"/>
              <w:rPr>
                <w:rFonts w:eastAsia="黑体"/>
                <w:bCs/>
                <w:sz w:val="24"/>
                <w:szCs w:val="24"/>
              </w:rPr>
            </w:pPr>
            <w:r>
              <w:rPr>
                <w:rFonts w:eastAsia="黑体"/>
                <w:bCs/>
                <w:sz w:val="24"/>
                <w:szCs w:val="24"/>
              </w:rPr>
              <w:t>主要完成单位</w:t>
            </w:r>
          </w:p>
        </w:tc>
        <w:tc>
          <w:tcPr>
            <w:tcW w:w="6987" w:type="dxa"/>
            <w:tcBorders>
              <w:left w:val="single" w:color="auto" w:sz="4" w:space="0"/>
            </w:tcBorders>
            <w:vAlign w:val="center"/>
          </w:tcPr>
          <w:p>
            <w:pPr>
              <w:spacing w:line="440" w:lineRule="exact"/>
              <w:rPr>
                <w:rFonts w:eastAsia="仿宋_GB2312"/>
                <w:sz w:val="24"/>
                <w:szCs w:val="24"/>
              </w:rPr>
            </w:pPr>
            <w:r>
              <w:rPr>
                <w:rFonts w:hint="eastAsia" w:eastAsia="仿宋_GB2312"/>
                <w:sz w:val="24"/>
                <w:szCs w:val="24"/>
              </w:rPr>
              <w:t>1.宁波亚洲浆纸业有限公司</w:t>
            </w:r>
          </w:p>
          <w:p>
            <w:pPr>
              <w:spacing w:line="440" w:lineRule="exact"/>
              <w:rPr>
                <w:rFonts w:eastAsia="仿宋" w:cs="黑体"/>
                <w:bCs/>
                <w:sz w:val="24"/>
                <w:szCs w:val="24"/>
              </w:rPr>
            </w:pPr>
            <w:r>
              <w:rPr>
                <w:rFonts w:hint="eastAsia" w:eastAsia="仿宋_GB2312"/>
                <w:sz w:val="24"/>
                <w:szCs w:val="24"/>
              </w:rPr>
              <w:t>2.中国科学院宁波材料技术与工程研究所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7" w:hRule="atLeast"/>
          <w:jc w:val="center"/>
        </w:trPr>
        <w:tc>
          <w:tcPr>
            <w:tcW w:w="1933" w:type="dxa"/>
            <w:vAlign w:val="center"/>
          </w:tcPr>
          <w:p>
            <w:pPr>
              <w:contextualSpacing/>
              <w:jc w:val="center"/>
              <w:rPr>
                <w:rStyle w:val="38"/>
                <w:rFonts w:eastAsia="黑体"/>
                <w:b w:val="0"/>
                <w:color w:val="auto"/>
              </w:rPr>
            </w:pPr>
            <w:r>
              <w:rPr>
                <w:rStyle w:val="38"/>
                <w:rFonts w:eastAsia="黑体"/>
                <w:b w:val="0"/>
                <w:color w:val="auto"/>
              </w:rPr>
              <w:t>提名单位</w:t>
            </w:r>
          </w:p>
        </w:tc>
        <w:tc>
          <w:tcPr>
            <w:tcW w:w="6987" w:type="dxa"/>
            <w:vAlign w:val="center"/>
          </w:tcPr>
          <w:p>
            <w:pPr>
              <w:contextualSpacing/>
              <w:jc w:val="center"/>
              <w:rPr>
                <w:rStyle w:val="38"/>
                <w:rFonts w:eastAsia="仿宋" w:cs="黑体"/>
                <w:b w:val="0"/>
                <w:color w:val="auto"/>
              </w:rPr>
            </w:pPr>
            <w:r>
              <w:rPr>
                <w:rFonts w:hint="eastAsia" w:eastAsia="仿宋_GB2312"/>
                <w:sz w:val="24"/>
                <w:szCs w:val="24"/>
              </w:rPr>
              <w:t>宁波市人民政府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538" w:hRule="atLeast"/>
          <w:jc w:val="center"/>
        </w:trPr>
        <w:tc>
          <w:tcPr>
            <w:tcW w:w="1933" w:type="dxa"/>
            <w:vAlign w:val="center"/>
          </w:tcPr>
          <w:p>
            <w:pPr>
              <w:contextualSpacing/>
              <w:jc w:val="center"/>
              <w:rPr>
                <w:rStyle w:val="38"/>
                <w:rFonts w:eastAsia="黑体"/>
                <w:b w:val="0"/>
                <w:color w:val="auto"/>
              </w:rPr>
            </w:pPr>
            <w:r>
              <w:rPr>
                <w:rStyle w:val="38"/>
                <w:rFonts w:eastAsia="黑体"/>
                <w:b w:val="0"/>
                <w:color w:val="auto"/>
              </w:rPr>
              <w:t>提名意见</w:t>
            </w:r>
          </w:p>
        </w:tc>
        <w:tc>
          <w:tcPr>
            <w:tcW w:w="6987" w:type="dxa"/>
            <w:vAlign w:val="center"/>
          </w:tcPr>
          <w:p>
            <w:pPr>
              <w:contextualSpacing/>
              <w:rPr>
                <w:rFonts w:eastAsia="仿宋_GB2312"/>
                <w:b/>
                <w:bCs/>
                <w:sz w:val="24"/>
                <w:szCs w:val="24"/>
              </w:rPr>
            </w:pPr>
            <w:r>
              <w:rPr>
                <w:rFonts w:hint="eastAsia" w:eastAsia="仿宋_GB2312"/>
                <w:b/>
                <w:bCs/>
                <w:sz w:val="24"/>
                <w:szCs w:val="24"/>
              </w:rPr>
              <w:t>成果简介:</w:t>
            </w:r>
          </w:p>
          <w:p>
            <w:pPr>
              <w:keepNext w:val="0"/>
              <w:keepLines w:val="0"/>
              <w:pageBreakBefore w:val="0"/>
              <w:widowControl w:val="0"/>
              <w:kinsoku/>
              <w:wordWrap/>
              <w:overflowPunct/>
              <w:topLinePunct w:val="0"/>
              <w:autoSpaceDE/>
              <w:autoSpaceDN/>
              <w:bidi w:val="0"/>
              <w:adjustRightInd/>
              <w:snapToGrid/>
              <w:ind w:firstLine="480" w:firstLineChars="200"/>
              <w:contextualSpacing/>
              <w:textAlignment w:val="auto"/>
              <w:outlineLvl w:val="9"/>
              <w:rPr>
                <w:rFonts w:eastAsia="仿宋_GB2312"/>
                <w:sz w:val="24"/>
                <w:szCs w:val="24"/>
              </w:rPr>
            </w:pPr>
            <w:r>
              <w:rPr>
                <w:rFonts w:hint="eastAsia" w:eastAsia="仿宋_GB2312"/>
                <w:sz w:val="24"/>
                <w:szCs w:val="24"/>
              </w:rPr>
              <w:t>1、项目前期依托宁波市工业重大专项“高档包装纸用石墨烯多功能水性纳米涂料研发及产业化”项目，研究出石墨烯水性分散技术使石墨烯更好的应用于造纸水性纳米涂料，并拓展石墨烯在水性体系中的应用领域。涂料的固含量可以达到60%以上，涂料具有较好的上机运行性。可更好的满足消费者对高档包装纸的性能需求。与未使用石墨烯涂料的高档包装纸板相比，石墨烯高档包装纸的印刷适性可提高一个等级</w:t>
            </w:r>
            <w:r>
              <w:rPr>
                <w:rFonts w:hint="eastAsia" w:eastAsia="仿宋_GB2312"/>
                <w:sz w:val="24"/>
                <w:szCs w:val="24"/>
                <w:lang w:eastAsia="zh-CN"/>
              </w:rPr>
              <w:t>，还</w:t>
            </w:r>
            <w:r>
              <w:rPr>
                <w:rFonts w:hint="eastAsia" w:eastAsia="仿宋_GB2312"/>
                <w:sz w:val="24"/>
                <w:szCs w:val="24"/>
              </w:rPr>
              <w:t>具有较好的水汽阻隔、空气阻隔、光线阻隔、抗静电及抗菌性能等；透湿阻隔性能提升40%；透氧阻隔性能提升50%；赋予纸板抗静电功能；200-800nm 波长光线阻隔率达到&gt;99%；纸板对金黄色葡萄球菌及大肠杆菌的抗菌率达到99%。石墨烯高档包装纸相比于PE淋膜、PET复合的包装纸的制造工艺简单，在原纸的背面涂布石墨烯多功能水性纳米涂料即可，是一种绿色环保、回收利用率高的新型包装纸板。</w:t>
            </w:r>
          </w:p>
          <w:p>
            <w:pPr>
              <w:ind w:firstLine="480" w:firstLineChars="200"/>
              <w:contextualSpacing/>
              <w:rPr>
                <w:rFonts w:eastAsia="仿宋_GB2312"/>
                <w:sz w:val="24"/>
                <w:szCs w:val="24"/>
              </w:rPr>
            </w:pPr>
            <w:r>
              <w:rPr>
                <w:rFonts w:hint="eastAsia" w:eastAsia="仿宋_GB2312"/>
                <w:sz w:val="24"/>
                <w:szCs w:val="24"/>
              </w:rPr>
              <w:t>2、</w:t>
            </w:r>
            <w:r>
              <w:rPr>
                <w:rFonts w:hint="eastAsia" w:ascii="仿宋" w:hAnsi="仿宋" w:eastAsia="仿宋" w:cs="仿宋"/>
                <w:b w:val="0"/>
                <w:bCs w:val="0"/>
                <w:sz w:val="24"/>
                <w:szCs w:val="24"/>
                <w:lang w:val="en-US" w:eastAsia="zh-CN"/>
              </w:rPr>
              <w:t>随着“禁塑令”的实施，宁波亚洲浆纸业有限公司研发了系列“以纸代塑”新技术，部分新产品已投入市场。</w:t>
            </w:r>
            <w:r>
              <w:rPr>
                <w:rFonts w:hint="eastAsia" w:eastAsia="仿宋_GB2312"/>
                <w:sz w:val="24"/>
                <w:szCs w:val="24"/>
              </w:rPr>
              <w:t>项目围绕“禁塑”环境下包装市场的急迫需求，利用纸浆纤维可循环使用、可生物降解、无毒无害以及良好的加工成型的特性，项目突破食品包装材料的高效阻隔涂层技术、复合技术和回收利用技术等关键技术，解决了纸板吸水性强、孔隙率高、阻隔性差的天然缺点。采用石墨烯多功能水性纳米涂料作为底涂涂料，填平纸板表面的纤维空隙，同时利用瓷土和石墨烯材料的扁平结构，在涂布过程中有序排列，形成致密的阻隔层。项目开发的预涂和面涂均为水性涂料</w:t>
            </w:r>
            <w:r>
              <w:rPr>
                <w:rFonts w:hint="eastAsia" w:eastAsia="仿宋_GB2312"/>
                <w:sz w:val="24"/>
                <w:szCs w:val="24"/>
                <w:lang w:val="en-US" w:eastAsia="zh-CN"/>
              </w:rPr>
              <w:t>配合</w:t>
            </w:r>
            <w:r>
              <w:rPr>
                <w:rFonts w:hint="eastAsia" w:eastAsia="仿宋_GB2312"/>
                <w:sz w:val="24"/>
                <w:szCs w:val="24"/>
              </w:rPr>
              <w:t>多层刮刀涂布技术形成layer-on-layer的涂层结构，让纸板具有良好的阻隔性能。涂层相比于PE等淋膜层，厚度低、分子间紧密度低，</w:t>
            </w:r>
            <w:r>
              <w:rPr>
                <w:rFonts w:hint="eastAsia" w:eastAsia="仿宋_GB2312"/>
                <w:sz w:val="24"/>
                <w:szCs w:val="24"/>
                <w:lang w:val="en-US" w:eastAsia="zh-CN"/>
              </w:rPr>
              <w:t>达到</w:t>
            </w:r>
            <w:r>
              <w:rPr>
                <w:rFonts w:hint="eastAsia" w:eastAsia="仿宋_GB2312"/>
                <w:sz w:val="24"/>
                <w:szCs w:val="24"/>
              </w:rPr>
              <w:t>易碎解，可堆肥</w:t>
            </w:r>
            <w:r>
              <w:rPr>
                <w:rFonts w:hint="eastAsia" w:eastAsia="仿宋_GB2312"/>
                <w:sz w:val="24"/>
                <w:szCs w:val="24"/>
                <w:lang w:val="en-US" w:eastAsia="zh-CN"/>
              </w:rPr>
              <w:t>的作用</w:t>
            </w:r>
            <w:r>
              <w:rPr>
                <w:rFonts w:hint="eastAsia" w:eastAsia="仿宋_GB2312"/>
                <w:sz w:val="24"/>
                <w:szCs w:val="24"/>
              </w:rPr>
              <w:t>。项目开发的水性涂层纸满足纸杯、面碗等成型、超声波、热封自粘加工工序；采用无荧光、无氟的食品级100%水溶性涂层材料，可碎解、可回收，可微波加热、安全环保。已获得德国可堆肥降解认证、无塑认证、可回收性认证。</w:t>
            </w:r>
            <w:r>
              <w:rPr>
                <w:rFonts w:hint="eastAsia" w:eastAsia="仿宋_GB2312"/>
                <w:sz w:val="24"/>
                <w:szCs w:val="24"/>
                <w:lang w:val="en-US" w:eastAsia="zh-CN"/>
              </w:rPr>
              <w:t>项目成果对于国内石墨烯的应用及无塑产品的开发具有重要意义，在研发过程中授权4项发明专利、4篇论文及三项标准。项目用于新型零塑食品卡纸的产品开发，2020年-2022年产品销售收入1316.585万元，该项研究成果显著，创新突出，具有良好的推广应用前景。</w:t>
            </w:r>
            <w:bookmarkStart w:id="0" w:name="_GoBack"/>
            <w:bookmarkEnd w:id="0"/>
          </w:p>
          <w:p>
            <w:pPr>
              <w:ind w:firstLine="480" w:firstLineChars="200"/>
              <w:contextualSpacing/>
              <w:rPr>
                <w:rStyle w:val="38"/>
                <w:rFonts w:eastAsia="仿宋" w:cs="黑体"/>
                <w:b w:val="0"/>
                <w:color w:val="auto"/>
              </w:rPr>
            </w:pPr>
            <w:r>
              <w:rPr>
                <w:rFonts w:hint="eastAsia" w:eastAsia="仿宋_GB2312"/>
                <w:sz w:val="24"/>
                <w:szCs w:val="24"/>
              </w:rPr>
              <w:t>经审查，该项目符合申报要求，同意提名2022年度省科学技术进步奖二等奖。</w:t>
            </w:r>
          </w:p>
        </w:tc>
      </w:tr>
    </w:tbl>
    <w:p>
      <w:pPr>
        <w:adjustRightInd w:val="0"/>
        <w:snapToGrid w:val="0"/>
        <w:spacing w:line="560" w:lineRule="exact"/>
        <w:rPr>
          <w:rFonts w:eastAsia="仿宋_GB2312"/>
          <w:sz w:val="32"/>
          <w:szCs w:val="32"/>
        </w:rPr>
      </w:pPr>
    </w:p>
    <w:sectPr>
      <w:headerReference r:id="rId3" w:type="default"/>
      <w:footerReference r:id="rId4" w:type="default"/>
      <w:pgSz w:w="11906" w:h="16838"/>
      <w:pgMar w:top="2098" w:right="1588" w:bottom="209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B6A32D4-903E-43E9-B1F7-80B023C014F9}"/>
  </w:font>
  <w:font w:name="Arial">
    <w:panose1 w:val="020B0604020202020204"/>
    <w:charset w:val="01"/>
    <w:family w:val="swiss"/>
    <w:pitch w:val="default"/>
    <w:sig w:usb0="E0002EFF" w:usb1="C000785B" w:usb2="00000009" w:usb3="00000000" w:csb0="400001FF" w:csb1="FFFF0000"/>
    <w:embedRegular r:id="rId2" w:fontKey="{9F5B1DF4-83EA-415B-B09B-CE0C1E9622A6}"/>
  </w:font>
  <w:font w:name="黑体">
    <w:panose1 w:val="02010609060101010101"/>
    <w:charset w:val="86"/>
    <w:family w:val="auto"/>
    <w:pitch w:val="default"/>
    <w:sig w:usb0="800002BF" w:usb1="38CF7CFA" w:usb2="00000016" w:usb3="00000000" w:csb0="00040001" w:csb1="00000000"/>
    <w:embedRegular r:id="rId3" w:fontKey="{C9FD2A9C-F870-41F4-8FC8-0089FBE1C2AE}"/>
  </w:font>
  <w:font w:name="Courier New">
    <w:panose1 w:val="02070309020205020404"/>
    <w:charset w:val="01"/>
    <w:family w:val="modern"/>
    <w:pitch w:val="default"/>
    <w:sig w:usb0="E0002EFF" w:usb1="C0007843" w:usb2="00000009" w:usb3="00000000" w:csb0="400001FF" w:csb1="FFFF0000"/>
    <w:embedRegular r:id="rId4" w:fontKey="{4FB471EA-7DA3-4ECF-ACF1-B012141F3759}"/>
  </w:font>
  <w:font w:name="Symbol">
    <w:panose1 w:val="05050102010706020507"/>
    <w:charset w:val="02"/>
    <w:family w:val="roman"/>
    <w:pitch w:val="default"/>
    <w:sig w:usb0="00000000" w:usb1="00000000" w:usb2="00000000" w:usb3="00000000" w:csb0="80000000" w:csb1="00000000"/>
    <w:embedRegular r:id="rId5" w:fontKey="{205C2FA8-BC1C-4E16-90BC-3436D3A4EB85}"/>
  </w:font>
  <w:font w:name="Cambria">
    <w:panose1 w:val="02040503050406030204"/>
    <w:charset w:val="00"/>
    <w:family w:val="roman"/>
    <w:pitch w:val="default"/>
    <w:sig w:usb0="E00006FF" w:usb1="420024FF" w:usb2="02000000" w:usb3="00000000" w:csb0="2000019F" w:csb1="00000000"/>
    <w:embedRegular r:id="rId6" w:fontKey="{7FB01BD1-57D2-4B6C-A101-4E26A1F4A308}"/>
  </w:font>
  <w:font w:name="Calibri">
    <w:panose1 w:val="020F0502020204030204"/>
    <w:charset w:val="00"/>
    <w:family w:val="swiss"/>
    <w:pitch w:val="default"/>
    <w:sig w:usb0="E0002EFF" w:usb1="C000247B" w:usb2="00000009" w:usb3="00000000" w:csb0="200001FF" w:csb1="00000000"/>
    <w:embedRegular r:id="rId7" w:fontKey="{FFA1D957-FA5D-4448-AEF2-E368FAC5B7CC}"/>
  </w:font>
  <w:font w:name="仿宋_GB2312">
    <w:altName w:val="仿宋"/>
    <w:panose1 w:val="00000000000000000000"/>
    <w:charset w:val="86"/>
    <w:family w:val="auto"/>
    <w:pitch w:val="default"/>
    <w:sig w:usb0="00000000" w:usb1="00000000" w:usb2="00000000" w:usb3="00000000" w:csb0="00040000" w:csb1="00000000"/>
    <w:embedRegular r:id="rId8" w:fontKey="{40064D7E-7591-460D-A7F0-EADAAAC065B4}"/>
  </w:font>
  <w:font w:name="方正仿宋简体">
    <w:altName w:val="微软雅黑"/>
    <w:panose1 w:val="00000000000000000000"/>
    <w:charset w:val="86"/>
    <w:family w:val="auto"/>
    <w:pitch w:val="default"/>
    <w:sig w:usb0="00000000" w:usb1="00000000" w:usb2="00000000" w:usb3="00000000" w:csb0="00040000" w:csb1="00000000"/>
  </w:font>
  <w:font w:name="方正小标宋简体">
    <w:altName w:val="微软雅黑"/>
    <w:panose1 w:val="00000000000000000000"/>
    <w:charset w:val="86"/>
    <w:family w:val="auto"/>
    <w:pitch w:val="default"/>
    <w:sig w:usb0="00000000" w:usb1="00000000" w:usb2="00000000" w:usb3="00000000" w:csb0="00040000" w:csb1="00000000"/>
    <w:embedRegular r:id="rId9" w:fontKey="{6D801341-373F-4236-B59F-C44CA14BAF5E}"/>
  </w:font>
  <w:font w:name="仿宋">
    <w:panose1 w:val="02010609060101010101"/>
    <w:charset w:val="86"/>
    <w:family w:val="modern"/>
    <w:pitch w:val="default"/>
    <w:sig w:usb0="800002BF" w:usb1="38CF7CFA" w:usb2="00000016" w:usb3="00000000" w:csb0="00040001" w:csb1="00000000"/>
    <w:embedRegular r:id="rId10" w:fontKey="{2250A83E-7CF4-465F-AFE7-DCBCFC75074B}"/>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20" w:hanging="4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8FF"/>
    <w:rsid w:val="00006056"/>
    <w:rsid w:val="00007BBE"/>
    <w:rsid w:val="000117FA"/>
    <w:rsid w:val="000165DC"/>
    <w:rsid w:val="00031E44"/>
    <w:rsid w:val="00033288"/>
    <w:rsid w:val="0004004D"/>
    <w:rsid w:val="00051BE3"/>
    <w:rsid w:val="00053F24"/>
    <w:rsid w:val="0006546D"/>
    <w:rsid w:val="00066016"/>
    <w:rsid w:val="00067E32"/>
    <w:rsid w:val="00073B46"/>
    <w:rsid w:val="00083906"/>
    <w:rsid w:val="000847FC"/>
    <w:rsid w:val="000929AE"/>
    <w:rsid w:val="000A0FE4"/>
    <w:rsid w:val="000B70B3"/>
    <w:rsid w:val="000C3B47"/>
    <w:rsid w:val="000C632A"/>
    <w:rsid w:val="000F1229"/>
    <w:rsid w:val="000F2CC3"/>
    <w:rsid w:val="000F6066"/>
    <w:rsid w:val="000F6517"/>
    <w:rsid w:val="000F6B39"/>
    <w:rsid w:val="000F7732"/>
    <w:rsid w:val="001039E9"/>
    <w:rsid w:val="00104F03"/>
    <w:rsid w:val="0012430D"/>
    <w:rsid w:val="001348AE"/>
    <w:rsid w:val="001435CC"/>
    <w:rsid w:val="001439BC"/>
    <w:rsid w:val="00153E23"/>
    <w:rsid w:val="00154376"/>
    <w:rsid w:val="001553CE"/>
    <w:rsid w:val="001614FC"/>
    <w:rsid w:val="00165962"/>
    <w:rsid w:val="00171419"/>
    <w:rsid w:val="0017168F"/>
    <w:rsid w:val="00172167"/>
    <w:rsid w:val="001829B2"/>
    <w:rsid w:val="00185449"/>
    <w:rsid w:val="001914CA"/>
    <w:rsid w:val="00192701"/>
    <w:rsid w:val="0019371C"/>
    <w:rsid w:val="001A45A0"/>
    <w:rsid w:val="001A5554"/>
    <w:rsid w:val="001A55E6"/>
    <w:rsid w:val="001B0C22"/>
    <w:rsid w:val="001B454D"/>
    <w:rsid w:val="001B52AA"/>
    <w:rsid w:val="001C4D6D"/>
    <w:rsid w:val="001D3908"/>
    <w:rsid w:val="001E02BA"/>
    <w:rsid w:val="001F032B"/>
    <w:rsid w:val="001F2C76"/>
    <w:rsid w:val="001F7F40"/>
    <w:rsid w:val="00210961"/>
    <w:rsid w:val="00212129"/>
    <w:rsid w:val="00213CE9"/>
    <w:rsid w:val="0021734C"/>
    <w:rsid w:val="002242B0"/>
    <w:rsid w:val="002247F4"/>
    <w:rsid w:val="00230FE9"/>
    <w:rsid w:val="0023223F"/>
    <w:rsid w:val="00244749"/>
    <w:rsid w:val="00247A49"/>
    <w:rsid w:val="00251808"/>
    <w:rsid w:val="002579D1"/>
    <w:rsid w:val="002745F8"/>
    <w:rsid w:val="00283031"/>
    <w:rsid w:val="0029509E"/>
    <w:rsid w:val="00296134"/>
    <w:rsid w:val="002A2925"/>
    <w:rsid w:val="002A7955"/>
    <w:rsid w:val="002B3198"/>
    <w:rsid w:val="002C6803"/>
    <w:rsid w:val="002C6E65"/>
    <w:rsid w:val="002D1FA7"/>
    <w:rsid w:val="002D3BA3"/>
    <w:rsid w:val="002E3C77"/>
    <w:rsid w:val="002E42A8"/>
    <w:rsid w:val="002E43DB"/>
    <w:rsid w:val="002F1911"/>
    <w:rsid w:val="002F74D2"/>
    <w:rsid w:val="0030543F"/>
    <w:rsid w:val="003063D6"/>
    <w:rsid w:val="00311F89"/>
    <w:rsid w:val="003125EF"/>
    <w:rsid w:val="00326352"/>
    <w:rsid w:val="00330554"/>
    <w:rsid w:val="00331B99"/>
    <w:rsid w:val="00336678"/>
    <w:rsid w:val="00340314"/>
    <w:rsid w:val="00343DF4"/>
    <w:rsid w:val="00347614"/>
    <w:rsid w:val="00356B8A"/>
    <w:rsid w:val="00363C7E"/>
    <w:rsid w:val="00370977"/>
    <w:rsid w:val="00377C1C"/>
    <w:rsid w:val="00382214"/>
    <w:rsid w:val="00382EDD"/>
    <w:rsid w:val="00386D85"/>
    <w:rsid w:val="00390DE9"/>
    <w:rsid w:val="003A026D"/>
    <w:rsid w:val="003A08CF"/>
    <w:rsid w:val="003A343A"/>
    <w:rsid w:val="003A466E"/>
    <w:rsid w:val="003A5D0E"/>
    <w:rsid w:val="003A60A7"/>
    <w:rsid w:val="003B0906"/>
    <w:rsid w:val="003B2A50"/>
    <w:rsid w:val="003B3345"/>
    <w:rsid w:val="003C1234"/>
    <w:rsid w:val="003C4124"/>
    <w:rsid w:val="003E6BFB"/>
    <w:rsid w:val="003F0278"/>
    <w:rsid w:val="003F1E9D"/>
    <w:rsid w:val="003F4AB6"/>
    <w:rsid w:val="003F76A0"/>
    <w:rsid w:val="00401E30"/>
    <w:rsid w:val="004058E3"/>
    <w:rsid w:val="00415D93"/>
    <w:rsid w:val="004179C8"/>
    <w:rsid w:val="00427A6E"/>
    <w:rsid w:val="004300EE"/>
    <w:rsid w:val="0043080F"/>
    <w:rsid w:val="00442705"/>
    <w:rsid w:val="00444A55"/>
    <w:rsid w:val="0044700B"/>
    <w:rsid w:val="0044760A"/>
    <w:rsid w:val="00453528"/>
    <w:rsid w:val="00453C0E"/>
    <w:rsid w:val="00461A90"/>
    <w:rsid w:val="004820BD"/>
    <w:rsid w:val="00484A1D"/>
    <w:rsid w:val="00484D69"/>
    <w:rsid w:val="004929AC"/>
    <w:rsid w:val="00492EAC"/>
    <w:rsid w:val="004A6419"/>
    <w:rsid w:val="004B33C9"/>
    <w:rsid w:val="004B531C"/>
    <w:rsid w:val="004C2337"/>
    <w:rsid w:val="004D3106"/>
    <w:rsid w:val="004D55B5"/>
    <w:rsid w:val="004E11C6"/>
    <w:rsid w:val="004E36AB"/>
    <w:rsid w:val="004F503B"/>
    <w:rsid w:val="004F551A"/>
    <w:rsid w:val="005002DF"/>
    <w:rsid w:val="00500EBD"/>
    <w:rsid w:val="00504232"/>
    <w:rsid w:val="0050638A"/>
    <w:rsid w:val="00510C66"/>
    <w:rsid w:val="00511F4B"/>
    <w:rsid w:val="0051372C"/>
    <w:rsid w:val="00521ED7"/>
    <w:rsid w:val="00526964"/>
    <w:rsid w:val="00532D5A"/>
    <w:rsid w:val="005354E4"/>
    <w:rsid w:val="00544032"/>
    <w:rsid w:val="00552729"/>
    <w:rsid w:val="005663D6"/>
    <w:rsid w:val="0057056C"/>
    <w:rsid w:val="00570701"/>
    <w:rsid w:val="0057414B"/>
    <w:rsid w:val="0057576E"/>
    <w:rsid w:val="0058367D"/>
    <w:rsid w:val="00586D66"/>
    <w:rsid w:val="005A0877"/>
    <w:rsid w:val="005A17EC"/>
    <w:rsid w:val="005A1A1D"/>
    <w:rsid w:val="005A485B"/>
    <w:rsid w:val="005A6276"/>
    <w:rsid w:val="005A6B7D"/>
    <w:rsid w:val="005B5550"/>
    <w:rsid w:val="005B65F0"/>
    <w:rsid w:val="005D2A14"/>
    <w:rsid w:val="005D36E9"/>
    <w:rsid w:val="005E0059"/>
    <w:rsid w:val="005E261D"/>
    <w:rsid w:val="005E49A6"/>
    <w:rsid w:val="005E6D32"/>
    <w:rsid w:val="005F0DC8"/>
    <w:rsid w:val="00600FA4"/>
    <w:rsid w:val="00605720"/>
    <w:rsid w:val="00611BDC"/>
    <w:rsid w:val="006177DC"/>
    <w:rsid w:val="00623BD2"/>
    <w:rsid w:val="00626265"/>
    <w:rsid w:val="006269F8"/>
    <w:rsid w:val="00642EBC"/>
    <w:rsid w:val="00643B2E"/>
    <w:rsid w:val="00646AD1"/>
    <w:rsid w:val="0065509C"/>
    <w:rsid w:val="00670053"/>
    <w:rsid w:val="00672306"/>
    <w:rsid w:val="00673E71"/>
    <w:rsid w:val="0068168C"/>
    <w:rsid w:val="006823DB"/>
    <w:rsid w:val="00692309"/>
    <w:rsid w:val="00694DDB"/>
    <w:rsid w:val="006A1E31"/>
    <w:rsid w:val="006A390F"/>
    <w:rsid w:val="006A580A"/>
    <w:rsid w:val="006B34CD"/>
    <w:rsid w:val="006C528F"/>
    <w:rsid w:val="006C691E"/>
    <w:rsid w:val="006C6CA7"/>
    <w:rsid w:val="006D10DB"/>
    <w:rsid w:val="006D59C3"/>
    <w:rsid w:val="006E4386"/>
    <w:rsid w:val="006E5310"/>
    <w:rsid w:val="006F0C81"/>
    <w:rsid w:val="006F5EED"/>
    <w:rsid w:val="006F7780"/>
    <w:rsid w:val="007116D0"/>
    <w:rsid w:val="00721ACB"/>
    <w:rsid w:val="00725CE5"/>
    <w:rsid w:val="0073019F"/>
    <w:rsid w:val="00734046"/>
    <w:rsid w:val="00735560"/>
    <w:rsid w:val="00736027"/>
    <w:rsid w:val="007370E0"/>
    <w:rsid w:val="00745D4A"/>
    <w:rsid w:val="007466B8"/>
    <w:rsid w:val="00751448"/>
    <w:rsid w:val="00751A09"/>
    <w:rsid w:val="0075383C"/>
    <w:rsid w:val="00754147"/>
    <w:rsid w:val="00756C08"/>
    <w:rsid w:val="00756D75"/>
    <w:rsid w:val="00760A58"/>
    <w:rsid w:val="00763073"/>
    <w:rsid w:val="0076560D"/>
    <w:rsid w:val="00767A99"/>
    <w:rsid w:val="00784D44"/>
    <w:rsid w:val="00793C8C"/>
    <w:rsid w:val="00793E7F"/>
    <w:rsid w:val="007940D2"/>
    <w:rsid w:val="00794B04"/>
    <w:rsid w:val="0079610B"/>
    <w:rsid w:val="00797739"/>
    <w:rsid w:val="007A5E60"/>
    <w:rsid w:val="007B0382"/>
    <w:rsid w:val="007B5ADC"/>
    <w:rsid w:val="007B7CAA"/>
    <w:rsid w:val="007C28FF"/>
    <w:rsid w:val="007C5AC5"/>
    <w:rsid w:val="007D1433"/>
    <w:rsid w:val="007D26E7"/>
    <w:rsid w:val="007D58D1"/>
    <w:rsid w:val="007D68D7"/>
    <w:rsid w:val="007E17CF"/>
    <w:rsid w:val="007F5A15"/>
    <w:rsid w:val="0080157D"/>
    <w:rsid w:val="008042D8"/>
    <w:rsid w:val="00813788"/>
    <w:rsid w:val="0082227E"/>
    <w:rsid w:val="00822B10"/>
    <w:rsid w:val="00823F06"/>
    <w:rsid w:val="00832862"/>
    <w:rsid w:val="00832F6E"/>
    <w:rsid w:val="00832F80"/>
    <w:rsid w:val="00833452"/>
    <w:rsid w:val="00834CE8"/>
    <w:rsid w:val="0083551E"/>
    <w:rsid w:val="00845A89"/>
    <w:rsid w:val="00845F36"/>
    <w:rsid w:val="008527A7"/>
    <w:rsid w:val="00853603"/>
    <w:rsid w:val="008550E7"/>
    <w:rsid w:val="00856D92"/>
    <w:rsid w:val="00866267"/>
    <w:rsid w:val="008666C1"/>
    <w:rsid w:val="00866773"/>
    <w:rsid w:val="008706BC"/>
    <w:rsid w:val="00872CCF"/>
    <w:rsid w:val="00890A44"/>
    <w:rsid w:val="00891DDA"/>
    <w:rsid w:val="00894724"/>
    <w:rsid w:val="00897BC4"/>
    <w:rsid w:val="008A09D1"/>
    <w:rsid w:val="008A37FE"/>
    <w:rsid w:val="008B5F0B"/>
    <w:rsid w:val="008B78AD"/>
    <w:rsid w:val="008C37F3"/>
    <w:rsid w:val="008C5BE5"/>
    <w:rsid w:val="008C7FED"/>
    <w:rsid w:val="008D4B84"/>
    <w:rsid w:val="00902413"/>
    <w:rsid w:val="0090595F"/>
    <w:rsid w:val="0090670A"/>
    <w:rsid w:val="00906781"/>
    <w:rsid w:val="00907694"/>
    <w:rsid w:val="009211BA"/>
    <w:rsid w:val="00922838"/>
    <w:rsid w:val="009339E2"/>
    <w:rsid w:val="00942CCA"/>
    <w:rsid w:val="00944C6A"/>
    <w:rsid w:val="00945930"/>
    <w:rsid w:val="00947118"/>
    <w:rsid w:val="009529F5"/>
    <w:rsid w:val="009572C9"/>
    <w:rsid w:val="009607CA"/>
    <w:rsid w:val="0096088C"/>
    <w:rsid w:val="009728CB"/>
    <w:rsid w:val="00975273"/>
    <w:rsid w:val="009764E0"/>
    <w:rsid w:val="0098148B"/>
    <w:rsid w:val="00983F16"/>
    <w:rsid w:val="00984A71"/>
    <w:rsid w:val="00985B39"/>
    <w:rsid w:val="009866EC"/>
    <w:rsid w:val="0099382A"/>
    <w:rsid w:val="00994C12"/>
    <w:rsid w:val="009A3A67"/>
    <w:rsid w:val="009D1070"/>
    <w:rsid w:val="009D2804"/>
    <w:rsid w:val="009D3350"/>
    <w:rsid w:val="009D66DD"/>
    <w:rsid w:val="009E3EA4"/>
    <w:rsid w:val="009F0766"/>
    <w:rsid w:val="009F19B6"/>
    <w:rsid w:val="009F4B40"/>
    <w:rsid w:val="00A03853"/>
    <w:rsid w:val="00A11F99"/>
    <w:rsid w:val="00A1508E"/>
    <w:rsid w:val="00A156D9"/>
    <w:rsid w:val="00A243BC"/>
    <w:rsid w:val="00A27943"/>
    <w:rsid w:val="00A31D43"/>
    <w:rsid w:val="00A36061"/>
    <w:rsid w:val="00A402C6"/>
    <w:rsid w:val="00A5008B"/>
    <w:rsid w:val="00A61479"/>
    <w:rsid w:val="00A65CD4"/>
    <w:rsid w:val="00A70F4C"/>
    <w:rsid w:val="00A736E3"/>
    <w:rsid w:val="00A86D79"/>
    <w:rsid w:val="00AA6478"/>
    <w:rsid w:val="00AA6A67"/>
    <w:rsid w:val="00AB2670"/>
    <w:rsid w:val="00AB2B0F"/>
    <w:rsid w:val="00AC096E"/>
    <w:rsid w:val="00AC5736"/>
    <w:rsid w:val="00AC69B7"/>
    <w:rsid w:val="00AC7691"/>
    <w:rsid w:val="00AD689E"/>
    <w:rsid w:val="00AD7D6F"/>
    <w:rsid w:val="00AE189B"/>
    <w:rsid w:val="00AE5A16"/>
    <w:rsid w:val="00AF0A71"/>
    <w:rsid w:val="00AF2833"/>
    <w:rsid w:val="00AF2A0E"/>
    <w:rsid w:val="00B03355"/>
    <w:rsid w:val="00B0469B"/>
    <w:rsid w:val="00B127DF"/>
    <w:rsid w:val="00B14566"/>
    <w:rsid w:val="00B237EB"/>
    <w:rsid w:val="00B24D94"/>
    <w:rsid w:val="00B268E1"/>
    <w:rsid w:val="00B269D7"/>
    <w:rsid w:val="00B303C2"/>
    <w:rsid w:val="00B362C3"/>
    <w:rsid w:val="00B43F7F"/>
    <w:rsid w:val="00B63A00"/>
    <w:rsid w:val="00B651CC"/>
    <w:rsid w:val="00B73F27"/>
    <w:rsid w:val="00B74C14"/>
    <w:rsid w:val="00B92BAD"/>
    <w:rsid w:val="00B9520A"/>
    <w:rsid w:val="00B979F5"/>
    <w:rsid w:val="00BA07A7"/>
    <w:rsid w:val="00BA3056"/>
    <w:rsid w:val="00BB47F3"/>
    <w:rsid w:val="00BD0ED0"/>
    <w:rsid w:val="00BE7259"/>
    <w:rsid w:val="00C10571"/>
    <w:rsid w:val="00C24E7B"/>
    <w:rsid w:val="00C24EE0"/>
    <w:rsid w:val="00C36E42"/>
    <w:rsid w:val="00C51DAF"/>
    <w:rsid w:val="00C52425"/>
    <w:rsid w:val="00C555AC"/>
    <w:rsid w:val="00C56CDE"/>
    <w:rsid w:val="00C5764E"/>
    <w:rsid w:val="00C64274"/>
    <w:rsid w:val="00C65487"/>
    <w:rsid w:val="00C65987"/>
    <w:rsid w:val="00C74F01"/>
    <w:rsid w:val="00C83D98"/>
    <w:rsid w:val="00C87EB0"/>
    <w:rsid w:val="00C92139"/>
    <w:rsid w:val="00C94906"/>
    <w:rsid w:val="00CA0830"/>
    <w:rsid w:val="00CA08E7"/>
    <w:rsid w:val="00CA0BB3"/>
    <w:rsid w:val="00CB7617"/>
    <w:rsid w:val="00CC2CF9"/>
    <w:rsid w:val="00CC55CE"/>
    <w:rsid w:val="00CD3458"/>
    <w:rsid w:val="00CE7048"/>
    <w:rsid w:val="00CF0855"/>
    <w:rsid w:val="00CF0ED4"/>
    <w:rsid w:val="00CF10A0"/>
    <w:rsid w:val="00D043A5"/>
    <w:rsid w:val="00D06294"/>
    <w:rsid w:val="00D170C8"/>
    <w:rsid w:val="00D20CA5"/>
    <w:rsid w:val="00D22F7F"/>
    <w:rsid w:val="00D23039"/>
    <w:rsid w:val="00D27104"/>
    <w:rsid w:val="00D35DA8"/>
    <w:rsid w:val="00D41A51"/>
    <w:rsid w:val="00D4719D"/>
    <w:rsid w:val="00D47863"/>
    <w:rsid w:val="00D51301"/>
    <w:rsid w:val="00D619CB"/>
    <w:rsid w:val="00D66E92"/>
    <w:rsid w:val="00D75966"/>
    <w:rsid w:val="00D76DA8"/>
    <w:rsid w:val="00D76EB9"/>
    <w:rsid w:val="00D97840"/>
    <w:rsid w:val="00DC0F80"/>
    <w:rsid w:val="00DC1C67"/>
    <w:rsid w:val="00DD7D0E"/>
    <w:rsid w:val="00DF02D4"/>
    <w:rsid w:val="00DF2AD8"/>
    <w:rsid w:val="00DF7FCB"/>
    <w:rsid w:val="00E066BD"/>
    <w:rsid w:val="00E1736F"/>
    <w:rsid w:val="00E17FF5"/>
    <w:rsid w:val="00E26009"/>
    <w:rsid w:val="00E3162A"/>
    <w:rsid w:val="00E37C85"/>
    <w:rsid w:val="00E407C9"/>
    <w:rsid w:val="00E448E6"/>
    <w:rsid w:val="00E46BD6"/>
    <w:rsid w:val="00E5280E"/>
    <w:rsid w:val="00E5401A"/>
    <w:rsid w:val="00E55EDB"/>
    <w:rsid w:val="00E56172"/>
    <w:rsid w:val="00E60002"/>
    <w:rsid w:val="00E63C4E"/>
    <w:rsid w:val="00E730DF"/>
    <w:rsid w:val="00E74D76"/>
    <w:rsid w:val="00E754A7"/>
    <w:rsid w:val="00E81909"/>
    <w:rsid w:val="00E83D1D"/>
    <w:rsid w:val="00E83D4E"/>
    <w:rsid w:val="00E84A18"/>
    <w:rsid w:val="00E84C25"/>
    <w:rsid w:val="00E84FF9"/>
    <w:rsid w:val="00E86E74"/>
    <w:rsid w:val="00E93BC2"/>
    <w:rsid w:val="00EA7020"/>
    <w:rsid w:val="00EB2FD4"/>
    <w:rsid w:val="00EB7300"/>
    <w:rsid w:val="00EC5664"/>
    <w:rsid w:val="00ED130C"/>
    <w:rsid w:val="00ED31B6"/>
    <w:rsid w:val="00EE0CE1"/>
    <w:rsid w:val="00EE1078"/>
    <w:rsid w:val="00EE7FC6"/>
    <w:rsid w:val="00EF79B0"/>
    <w:rsid w:val="00F024DB"/>
    <w:rsid w:val="00F143B1"/>
    <w:rsid w:val="00F1451E"/>
    <w:rsid w:val="00F23CF0"/>
    <w:rsid w:val="00F3777D"/>
    <w:rsid w:val="00F45942"/>
    <w:rsid w:val="00F45AE1"/>
    <w:rsid w:val="00F5192E"/>
    <w:rsid w:val="00F53F01"/>
    <w:rsid w:val="00F57D63"/>
    <w:rsid w:val="00F640B5"/>
    <w:rsid w:val="00F67176"/>
    <w:rsid w:val="00F711B9"/>
    <w:rsid w:val="00F765BA"/>
    <w:rsid w:val="00F81F40"/>
    <w:rsid w:val="00F90789"/>
    <w:rsid w:val="00F90DFB"/>
    <w:rsid w:val="00F91089"/>
    <w:rsid w:val="00F94DE6"/>
    <w:rsid w:val="00FA33E4"/>
    <w:rsid w:val="00FB0D99"/>
    <w:rsid w:val="00FB523A"/>
    <w:rsid w:val="00FB5471"/>
    <w:rsid w:val="00FB606D"/>
    <w:rsid w:val="00FC18D8"/>
    <w:rsid w:val="00FC5A70"/>
    <w:rsid w:val="00FC7BB3"/>
    <w:rsid w:val="00FC7D4F"/>
    <w:rsid w:val="00FD0CCE"/>
    <w:rsid w:val="00FD3CB2"/>
    <w:rsid w:val="00FE187C"/>
    <w:rsid w:val="00FE48C9"/>
    <w:rsid w:val="00FE69B2"/>
    <w:rsid w:val="00FF48B9"/>
    <w:rsid w:val="00FF49EB"/>
    <w:rsid w:val="02883661"/>
    <w:rsid w:val="02C848FD"/>
    <w:rsid w:val="03A5413C"/>
    <w:rsid w:val="04854128"/>
    <w:rsid w:val="04A9605B"/>
    <w:rsid w:val="05672831"/>
    <w:rsid w:val="05C06E05"/>
    <w:rsid w:val="05F77EEC"/>
    <w:rsid w:val="063B5B78"/>
    <w:rsid w:val="07CA76CE"/>
    <w:rsid w:val="08E33793"/>
    <w:rsid w:val="08E91129"/>
    <w:rsid w:val="09434D9D"/>
    <w:rsid w:val="09C556F2"/>
    <w:rsid w:val="09F92B1D"/>
    <w:rsid w:val="0A694752"/>
    <w:rsid w:val="0AB42620"/>
    <w:rsid w:val="0AD10D6A"/>
    <w:rsid w:val="0BB30987"/>
    <w:rsid w:val="0DF07EE3"/>
    <w:rsid w:val="0E643518"/>
    <w:rsid w:val="0E864A44"/>
    <w:rsid w:val="10344DD0"/>
    <w:rsid w:val="107514F4"/>
    <w:rsid w:val="10DD4EBB"/>
    <w:rsid w:val="119D3782"/>
    <w:rsid w:val="12435D4E"/>
    <w:rsid w:val="132C233E"/>
    <w:rsid w:val="15F7626D"/>
    <w:rsid w:val="15F93F79"/>
    <w:rsid w:val="15FC7CFC"/>
    <w:rsid w:val="16287BC3"/>
    <w:rsid w:val="16693DC2"/>
    <w:rsid w:val="16803F6C"/>
    <w:rsid w:val="16AD7FB9"/>
    <w:rsid w:val="16C428E6"/>
    <w:rsid w:val="17EDC74B"/>
    <w:rsid w:val="183F1493"/>
    <w:rsid w:val="186A182C"/>
    <w:rsid w:val="18D07C10"/>
    <w:rsid w:val="18FC4FBA"/>
    <w:rsid w:val="190768CF"/>
    <w:rsid w:val="19630365"/>
    <w:rsid w:val="19AF3334"/>
    <w:rsid w:val="1A604FC3"/>
    <w:rsid w:val="1AAB4A91"/>
    <w:rsid w:val="1B0E4ACA"/>
    <w:rsid w:val="1B8B48E8"/>
    <w:rsid w:val="1C3E3265"/>
    <w:rsid w:val="1C9808FD"/>
    <w:rsid w:val="1D632E00"/>
    <w:rsid w:val="1D934311"/>
    <w:rsid w:val="1DF52CC8"/>
    <w:rsid w:val="1E065132"/>
    <w:rsid w:val="1E1862E1"/>
    <w:rsid w:val="1F096FB1"/>
    <w:rsid w:val="210838D9"/>
    <w:rsid w:val="217A28E4"/>
    <w:rsid w:val="22873147"/>
    <w:rsid w:val="229233C9"/>
    <w:rsid w:val="23571659"/>
    <w:rsid w:val="23737E65"/>
    <w:rsid w:val="23DA218B"/>
    <w:rsid w:val="254D1128"/>
    <w:rsid w:val="26574DB4"/>
    <w:rsid w:val="27143262"/>
    <w:rsid w:val="275B723E"/>
    <w:rsid w:val="27E50DCB"/>
    <w:rsid w:val="29F90ABD"/>
    <w:rsid w:val="2A213392"/>
    <w:rsid w:val="2A465F84"/>
    <w:rsid w:val="2A4F18CC"/>
    <w:rsid w:val="2A5700B2"/>
    <w:rsid w:val="2AC96FF6"/>
    <w:rsid w:val="2B0E5044"/>
    <w:rsid w:val="2B5E7BEB"/>
    <w:rsid w:val="2C5A5D16"/>
    <w:rsid w:val="2D441354"/>
    <w:rsid w:val="2D5304A2"/>
    <w:rsid w:val="2D68079A"/>
    <w:rsid w:val="2DF700D9"/>
    <w:rsid w:val="2E4550FC"/>
    <w:rsid w:val="2E514683"/>
    <w:rsid w:val="2EBACCEC"/>
    <w:rsid w:val="2F276578"/>
    <w:rsid w:val="2F917CA1"/>
    <w:rsid w:val="2FFC7DCE"/>
    <w:rsid w:val="30CD711A"/>
    <w:rsid w:val="32471FD9"/>
    <w:rsid w:val="32C1444F"/>
    <w:rsid w:val="338728D9"/>
    <w:rsid w:val="33D20888"/>
    <w:rsid w:val="35BC17F0"/>
    <w:rsid w:val="35F10F8D"/>
    <w:rsid w:val="374F01EB"/>
    <w:rsid w:val="376D011C"/>
    <w:rsid w:val="38891DB8"/>
    <w:rsid w:val="38A16843"/>
    <w:rsid w:val="38B32DC5"/>
    <w:rsid w:val="398F5D75"/>
    <w:rsid w:val="3ABA7D5B"/>
    <w:rsid w:val="3C4F4F38"/>
    <w:rsid w:val="3CE416AE"/>
    <w:rsid w:val="3DB862BD"/>
    <w:rsid w:val="3E43485C"/>
    <w:rsid w:val="3EAD0C0C"/>
    <w:rsid w:val="3F23643C"/>
    <w:rsid w:val="3F7FF403"/>
    <w:rsid w:val="436C4015"/>
    <w:rsid w:val="43D025F5"/>
    <w:rsid w:val="459C73B1"/>
    <w:rsid w:val="472E36B4"/>
    <w:rsid w:val="48B76D8F"/>
    <w:rsid w:val="49A07007"/>
    <w:rsid w:val="49DD2383"/>
    <w:rsid w:val="4A78588E"/>
    <w:rsid w:val="4CA639F1"/>
    <w:rsid w:val="4DD314A2"/>
    <w:rsid w:val="4E3E0B9C"/>
    <w:rsid w:val="4EC76DE4"/>
    <w:rsid w:val="4F3125AF"/>
    <w:rsid w:val="5552317F"/>
    <w:rsid w:val="557E53F1"/>
    <w:rsid w:val="573477B4"/>
    <w:rsid w:val="57DB4FAE"/>
    <w:rsid w:val="57E61A10"/>
    <w:rsid w:val="57FF4FBB"/>
    <w:rsid w:val="58BB54C9"/>
    <w:rsid w:val="58D36AC3"/>
    <w:rsid w:val="594E097A"/>
    <w:rsid w:val="59BB678A"/>
    <w:rsid w:val="59F65C7E"/>
    <w:rsid w:val="5A1D69F6"/>
    <w:rsid w:val="5B1909C7"/>
    <w:rsid w:val="5B64133E"/>
    <w:rsid w:val="5B9A4CA7"/>
    <w:rsid w:val="5D7A3760"/>
    <w:rsid w:val="5D981ABC"/>
    <w:rsid w:val="5DB06C95"/>
    <w:rsid w:val="5EAB238F"/>
    <w:rsid w:val="5F2D2C93"/>
    <w:rsid w:val="5F487ACD"/>
    <w:rsid w:val="5FBF5A6B"/>
    <w:rsid w:val="60E63616"/>
    <w:rsid w:val="60FB2C8B"/>
    <w:rsid w:val="612734A9"/>
    <w:rsid w:val="61907CF7"/>
    <w:rsid w:val="61C548D6"/>
    <w:rsid w:val="6207113F"/>
    <w:rsid w:val="621D4C84"/>
    <w:rsid w:val="63123A52"/>
    <w:rsid w:val="63441F36"/>
    <w:rsid w:val="634E0879"/>
    <w:rsid w:val="641941AB"/>
    <w:rsid w:val="64C701D0"/>
    <w:rsid w:val="64FF0C2E"/>
    <w:rsid w:val="657E0B48"/>
    <w:rsid w:val="660F30F2"/>
    <w:rsid w:val="67FA3CBD"/>
    <w:rsid w:val="67FF5FF1"/>
    <w:rsid w:val="688D6DBF"/>
    <w:rsid w:val="69BE70C4"/>
    <w:rsid w:val="6A2A1384"/>
    <w:rsid w:val="6AFE3735"/>
    <w:rsid w:val="6AFEE48C"/>
    <w:rsid w:val="6B5E0AAF"/>
    <w:rsid w:val="6BD31768"/>
    <w:rsid w:val="6D103417"/>
    <w:rsid w:val="6D342528"/>
    <w:rsid w:val="6D73A7A8"/>
    <w:rsid w:val="6DED540B"/>
    <w:rsid w:val="6EC205F2"/>
    <w:rsid w:val="6EF51602"/>
    <w:rsid w:val="70A408DB"/>
    <w:rsid w:val="717383BB"/>
    <w:rsid w:val="71EE2967"/>
    <w:rsid w:val="71F219FC"/>
    <w:rsid w:val="72FB5971"/>
    <w:rsid w:val="7367CFA8"/>
    <w:rsid w:val="7368470D"/>
    <w:rsid w:val="73762533"/>
    <w:rsid w:val="73F6855F"/>
    <w:rsid w:val="74180786"/>
    <w:rsid w:val="74370F48"/>
    <w:rsid w:val="74480462"/>
    <w:rsid w:val="74507E06"/>
    <w:rsid w:val="74FD2CB8"/>
    <w:rsid w:val="75FF44DB"/>
    <w:rsid w:val="76413F68"/>
    <w:rsid w:val="765C6DB5"/>
    <w:rsid w:val="77210E87"/>
    <w:rsid w:val="77B1FF77"/>
    <w:rsid w:val="797F503F"/>
    <w:rsid w:val="799A7C87"/>
    <w:rsid w:val="7A6B49A6"/>
    <w:rsid w:val="7B5615BC"/>
    <w:rsid w:val="7B973D59"/>
    <w:rsid w:val="7BAE59D5"/>
    <w:rsid w:val="7BEC7AA8"/>
    <w:rsid w:val="7BFE8EC0"/>
    <w:rsid w:val="7C240D0C"/>
    <w:rsid w:val="7DF77DD2"/>
    <w:rsid w:val="7DFFA53F"/>
    <w:rsid w:val="7F2FE11E"/>
    <w:rsid w:val="7F760DCA"/>
    <w:rsid w:val="7F7BA24F"/>
    <w:rsid w:val="7FAB99E8"/>
    <w:rsid w:val="7FB56661"/>
    <w:rsid w:val="7FB746D5"/>
    <w:rsid w:val="7FDE543C"/>
    <w:rsid w:val="B8F7F9A2"/>
    <w:rsid w:val="CBDF8A08"/>
    <w:rsid w:val="DB7451F2"/>
    <w:rsid w:val="DC9FCBEB"/>
    <w:rsid w:val="E9D78A37"/>
    <w:rsid w:val="EBCD529C"/>
    <w:rsid w:val="EBDFC38F"/>
    <w:rsid w:val="EBE7CAE1"/>
    <w:rsid w:val="F2EFD742"/>
    <w:rsid w:val="F77B9D5A"/>
    <w:rsid w:val="F78CA074"/>
    <w:rsid w:val="F7DED60E"/>
    <w:rsid w:val="FAFD401C"/>
    <w:rsid w:val="FB6B9550"/>
    <w:rsid w:val="FB735437"/>
    <w:rsid w:val="FBFF0F16"/>
    <w:rsid w:val="FD7E2DDA"/>
    <w:rsid w:val="FDEF3302"/>
    <w:rsid w:val="FDF7D648"/>
    <w:rsid w:val="FE4DE1B6"/>
    <w:rsid w:val="FE5391AB"/>
    <w:rsid w:val="FFADF011"/>
    <w:rsid w:val="FFE15F73"/>
    <w:rsid w:val="FFF26CD7"/>
    <w:rsid w:val="FFFB041A"/>
    <w:rsid w:val="FFFF600E"/>
  </w:rsids>
  <m:mathPr>
    <m:lMargin m:val="0"/>
    <m:mathFont m:val="Cambria Math"/>
    <m:rMargin m:val="0"/>
    <m:wrapIndent m:val="1440"/>
    <m:brkBin m:val="before"/>
    <m:brkBinSub m:val="--"/>
    <m:defJc m:val="centerGroup"/>
    <m:intLim m:val="subSup"/>
    <m:naryLim m:val="undOvr"/>
    <m:smallFrac m:val="1"/>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5"/>
    <w:qFormat/>
    <w:uiPriority w:val="9"/>
    <w:pPr>
      <w:keepNext/>
      <w:keepLines/>
      <w:widowControl/>
      <w:spacing w:before="340" w:after="330" w:line="578" w:lineRule="auto"/>
      <w:jc w:val="left"/>
      <w:outlineLvl w:val="0"/>
    </w:pPr>
    <w:rPr>
      <w:b/>
      <w:bCs/>
      <w:kern w:val="44"/>
      <w:sz w:val="44"/>
      <w:szCs w:val="44"/>
    </w:rPr>
  </w:style>
  <w:style w:type="paragraph" w:styleId="3">
    <w:name w:val="heading 2"/>
    <w:basedOn w:val="1"/>
    <w:next w:val="1"/>
    <w:link w:val="2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0"/>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23">
    <w:name w:val="Normal Table"/>
    <w:unhideWhenUsed/>
    <w:qFormat/>
    <w:uiPriority w:val="99"/>
    <w:tblPr>
      <w:tblLayout w:type="fixed"/>
      <w:tblCellMar>
        <w:top w:w="0" w:type="dxa"/>
        <w:left w:w="108" w:type="dxa"/>
        <w:bottom w:w="0" w:type="dxa"/>
        <w:right w:w="108" w:type="dxa"/>
      </w:tblCellMar>
    </w:tblPr>
  </w:style>
  <w:style w:type="paragraph" w:styleId="5">
    <w:name w:val="annotation subject"/>
    <w:basedOn w:val="6"/>
    <w:next w:val="6"/>
    <w:link w:val="37"/>
    <w:unhideWhenUsed/>
    <w:qFormat/>
    <w:uiPriority w:val="99"/>
    <w:rPr>
      <w:b/>
      <w:bCs/>
    </w:rPr>
  </w:style>
  <w:style w:type="paragraph" w:styleId="6">
    <w:name w:val="annotation text"/>
    <w:basedOn w:val="1"/>
    <w:link w:val="31"/>
    <w:unhideWhenUsed/>
    <w:qFormat/>
    <w:uiPriority w:val="99"/>
    <w:pPr>
      <w:widowControl/>
      <w:jc w:val="left"/>
    </w:pPr>
  </w:style>
  <w:style w:type="paragraph" w:styleId="7">
    <w:name w:val="toc 3"/>
    <w:basedOn w:val="1"/>
    <w:next w:val="1"/>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8">
    <w:name w:val="Plain Text"/>
    <w:basedOn w:val="1"/>
    <w:link w:val="32"/>
    <w:qFormat/>
    <w:uiPriority w:val="0"/>
    <w:pPr>
      <w:spacing w:line="360" w:lineRule="auto"/>
      <w:ind w:firstLine="480" w:firstLineChars="200"/>
    </w:pPr>
    <w:rPr>
      <w:rFonts w:ascii="仿宋_GB2312"/>
      <w:sz w:val="24"/>
    </w:rPr>
  </w:style>
  <w:style w:type="paragraph" w:styleId="9">
    <w:name w:val="Body Text Indent 2"/>
    <w:basedOn w:val="1"/>
    <w:link w:val="35"/>
    <w:qFormat/>
    <w:uiPriority w:val="0"/>
    <w:pPr>
      <w:widowControl/>
      <w:ind w:firstLine="562" w:firstLineChars="200"/>
      <w:jc w:val="left"/>
    </w:pPr>
    <w:rPr>
      <w:b/>
      <w:bCs/>
      <w:sz w:val="28"/>
      <w:szCs w:val="24"/>
    </w:rPr>
  </w:style>
  <w:style w:type="paragraph" w:styleId="10">
    <w:name w:val="Balloon Text"/>
    <w:basedOn w:val="1"/>
    <w:link w:val="30"/>
    <w:unhideWhenUsed/>
    <w:qFormat/>
    <w:uiPriority w:val="99"/>
    <w:rPr>
      <w:sz w:val="18"/>
      <w:szCs w:val="18"/>
    </w:rPr>
  </w:style>
  <w:style w:type="paragraph" w:styleId="11">
    <w:name w:val="footer"/>
    <w:basedOn w:val="1"/>
    <w:link w:val="28"/>
    <w:unhideWhenUsed/>
    <w:qFormat/>
    <w:uiPriority w:val="99"/>
    <w:pPr>
      <w:tabs>
        <w:tab w:val="center" w:pos="4153"/>
        <w:tab w:val="right" w:pos="8306"/>
      </w:tabs>
      <w:snapToGrid w:val="0"/>
      <w:jc w:val="left"/>
    </w:pPr>
    <w:rPr>
      <w:sz w:val="18"/>
      <w:szCs w:val="18"/>
    </w:rPr>
  </w:style>
  <w:style w:type="paragraph" w:styleId="12">
    <w:name w:val="header"/>
    <w:basedOn w:val="1"/>
    <w:link w:val="27"/>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widowControl/>
      <w:tabs>
        <w:tab w:val="right" w:leader="dot" w:pos="8720"/>
      </w:tabs>
      <w:spacing w:after="100" w:afterAutospacing="1" w:line="360" w:lineRule="auto"/>
      <w:jc w:val="left"/>
    </w:pPr>
    <w:rPr>
      <w:rFonts w:ascii="仿宋_GB2312" w:hAnsi="宋体" w:eastAsia="仿宋_GB2312"/>
      <w:b/>
      <w:bCs/>
      <w:kern w:val="0"/>
      <w:sz w:val="32"/>
      <w:szCs w:val="32"/>
    </w:rPr>
  </w:style>
  <w:style w:type="paragraph" w:styleId="14">
    <w:name w:val="toc 2"/>
    <w:basedOn w:val="1"/>
    <w:next w:val="1"/>
    <w:unhideWhenUsed/>
    <w:qFormat/>
    <w:uiPriority w:val="39"/>
    <w:pPr>
      <w:ind w:left="420" w:leftChars="200"/>
    </w:pPr>
  </w:style>
  <w:style w:type="paragraph" w:styleId="15">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16">
    <w:name w:val="Title"/>
    <w:basedOn w:val="1"/>
    <w:next w:val="1"/>
    <w:link w:val="36"/>
    <w:qFormat/>
    <w:uiPriority w:val="0"/>
    <w:pPr>
      <w:widowControl/>
      <w:spacing w:before="240" w:after="60"/>
      <w:jc w:val="center"/>
      <w:outlineLvl w:val="0"/>
    </w:pPr>
    <w:rPr>
      <w:rFonts w:ascii="Cambria" w:hAnsi="Cambria" w:eastAsia="黑体"/>
      <w:b/>
      <w:bCs/>
      <w:sz w:val="52"/>
      <w:szCs w:val="32"/>
    </w:rPr>
  </w:style>
  <w:style w:type="character" w:styleId="18">
    <w:name w:val="Strong"/>
    <w:basedOn w:val="17"/>
    <w:qFormat/>
    <w:uiPriority w:val="0"/>
    <w:rPr>
      <w:b/>
      <w:bCs/>
    </w:rPr>
  </w:style>
  <w:style w:type="character" w:styleId="19">
    <w:name w:val="page number"/>
    <w:basedOn w:val="17"/>
    <w:qFormat/>
    <w:uiPriority w:val="0"/>
  </w:style>
  <w:style w:type="character" w:styleId="20">
    <w:name w:val="Emphasis"/>
    <w:basedOn w:val="17"/>
    <w:qFormat/>
    <w:uiPriority w:val="20"/>
    <w:rPr>
      <w:i/>
      <w:iCs/>
    </w:rPr>
  </w:style>
  <w:style w:type="character" w:styleId="21">
    <w:name w:val="Hyperlink"/>
    <w:qFormat/>
    <w:uiPriority w:val="99"/>
    <w:rPr>
      <w:color w:val="0000FF"/>
      <w:u w:val="single"/>
    </w:rPr>
  </w:style>
  <w:style w:type="character" w:styleId="22">
    <w:name w:val="annotation reference"/>
    <w:basedOn w:val="17"/>
    <w:unhideWhenUsed/>
    <w:qFormat/>
    <w:uiPriority w:val="99"/>
    <w:rPr>
      <w:sz w:val="21"/>
      <w:szCs w:val="21"/>
    </w:r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25">
    <w:name w:val="标题 1 Char"/>
    <w:basedOn w:val="17"/>
    <w:link w:val="2"/>
    <w:qFormat/>
    <w:uiPriority w:val="9"/>
    <w:rPr>
      <w:rFonts w:ascii="Times New Roman" w:hAnsi="Times New Roman" w:eastAsia="宋体" w:cs="Times New Roman"/>
      <w:b/>
      <w:bCs/>
      <w:kern w:val="44"/>
      <w:sz w:val="44"/>
      <w:szCs w:val="44"/>
    </w:rPr>
  </w:style>
  <w:style w:type="character" w:customStyle="1" w:styleId="26">
    <w:name w:val="标题 2 Char"/>
    <w:basedOn w:val="17"/>
    <w:link w:val="3"/>
    <w:qFormat/>
    <w:uiPriority w:val="9"/>
    <w:rPr>
      <w:rFonts w:asciiTheme="majorHAnsi" w:hAnsiTheme="majorHAnsi" w:eastAsiaTheme="majorEastAsia" w:cstheme="majorBidi"/>
      <w:b/>
      <w:bCs/>
      <w:sz w:val="32"/>
      <w:szCs w:val="32"/>
    </w:rPr>
  </w:style>
  <w:style w:type="character" w:customStyle="1" w:styleId="27">
    <w:name w:val="页眉 Char"/>
    <w:basedOn w:val="17"/>
    <w:link w:val="12"/>
    <w:qFormat/>
    <w:uiPriority w:val="0"/>
    <w:rPr>
      <w:sz w:val="18"/>
      <w:szCs w:val="18"/>
    </w:rPr>
  </w:style>
  <w:style w:type="character" w:customStyle="1" w:styleId="28">
    <w:name w:val="页脚 Char"/>
    <w:basedOn w:val="17"/>
    <w:link w:val="11"/>
    <w:qFormat/>
    <w:uiPriority w:val="99"/>
    <w:rPr>
      <w:sz w:val="18"/>
      <w:szCs w:val="18"/>
    </w:rPr>
  </w:style>
  <w:style w:type="paragraph" w:customStyle="1" w:styleId="29">
    <w:name w:val="样式1"/>
    <w:basedOn w:val="1"/>
    <w:qFormat/>
    <w:uiPriority w:val="0"/>
    <w:pPr>
      <w:spacing w:line="600" w:lineRule="exact"/>
      <w:ind w:firstLine="200" w:firstLineChars="200"/>
    </w:pPr>
    <w:rPr>
      <w:rFonts w:eastAsia="方正仿宋简体"/>
      <w:bCs/>
      <w:snapToGrid w:val="0"/>
      <w:kern w:val="0"/>
      <w:sz w:val="32"/>
      <w:szCs w:val="32"/>
    </w:rPr>
  </w:style>
  <w:style w:type="character" w:customStyle="1" w:styleId="30">
    <w:name w:val="批注框文本 Char"/>
    <w:basedOn w:val="17"/>
    <w:link w:val="10"/>
    <w:semiHidden/>
    <w:qFormat/>
    <w:uiPriority w:val="99"/>
    <w:rPr>
      <w:rFonts w:ascii="Times New Roman" w:hAnsi="Times New Roman" w:eastAsia="宋体" w:cs="Times New Roman"/>
      <w:sz w:val="18"/>
      <w:szCs w:val="18"/>
    </w:rPr>
  </w:style>
  <w:style w:type="character" w:customStyle="1" w:styleId="31">
    <w:name w:val="批注文字 Char"/>
    <w:basedOn w:val="17"/>
    <w:link w:val="6"/>
    <w:semiHidden/>
    <w:qFormat/>
    <w:uiPriority w:val="99"/>
    <w:rPr>
      <w:rFonts w:ascii="Times New Roman" w:hAnsi="Times New Roman" w:eastAsia="宋体" w:cs="Times New Roman"/>
      <w:szCs w:val="20"/>
    </w:rPr>
  </w:style>
  <w:style w:type="character" w:customStyle="1" w:styleId="32">
    <w:name w:val="纯文本 Char"/>
    <w:basedOn w:val="17"/>
    <w:link w:val="8"/>
    <w:qFormat/>
    <w:uiPriority w:val="0"/>
    <w:rPr>
      <w:rFonts w:ascii="仿宋_GB2312" w:hAnsi="Times New Roman" w:eastAsia="宋体" w:cs="Times New Roman"/>
      <w:sz w:val="24"/>
      <w:szCs w:val="20"/>
    </w:rPr>
  </w:style>
  <w:style w:type="paragraph" w:customStyle="1" w:styleId="33">
    <w:name w:val="_Style 8"/>
    <w:basedOn w:val="1"/>
    <w:next w:val="1"/>
    <w:qFormat/>
    <w:uiPriority w:val="0"/>
    <w:pPr>
      <w:spacing w:line="360" w:lineRule="auto"/>
      <w:ind w:firstLine="480" w:firstLineChars="200"/>
    </w:pPr>
    <w:rPr>
      <w:rFonts w:ascii="仿宋_GB2312"/>
      <w:sz w:val="24"/>
    </w:rPr>
  </w:style>
  <w:style w:type="paragraph" w:customStyle="1" w:styleId="34">
    <w:name w:val="列出段落1"/>
    <w:basedOn w:val="1"/>
    <w:qFormat/>
    <w:uiPriority w:val="34"/>
    <w:pPr>
      <w:ind w:firstLine="420" w:firstLineChars="200"/>
    </w:pPr>
    <w:rPr>
      <w:rFonts w:ascii="仿宋_GB2312" w:eastAsia="仿宋_GB2312"/>
      <w:spacing w:val="-4"/>
      <w:sz w:val="32"/>
    </w:rPr>
  </w:style>
  <w:style w:type="character" w:customStyle="1" w:styleId="35">
    <w:name w:val="正文文本缩进 2 Char"/>
    <w:basedOn w:val="17"/>
    <w:link w:val="9"/>
    <w:qFormat/>
    <w:uiPriority w:val="0"/>
    <w:rPr>
      <w:rFonts w:ascii="Times New Roman" w:hAnsi="Times New Roman" w:eastAsia="宋体" w:cs="Times New Roman"/>
      <w:b/>
      <w:bCs/>
      <w:sz w:val="28"/>
      <w:szCs w:val="24"/>
    </w:rPr>
  </w:style>
  <w:style w:type="character" w:customStyle="1" w:styleId="36">
    <w:name w:val="标题 Char"/>
    <w:basedOn w:val="17"/>
    <w:link w:val="16"/>
    <w:qFormat/>
    <w:uiPriority w:val="0"/>
    <w:rPr>
      <w:rFonts w:ascii="Cambria" w:hAnsi="Cambria" w:eastAsia="黑体" w:cs="Times New Roman"/>
      <w:b/>
      <w:bCs/>
      <w:sz w:val="52"/>
      <w:szCs w:val="32"/>
    </w:rPr>
  </w:style>
  <w:style w:type="character" w:customStyle="1" w:styleId="37">
    <w:name w:val="批注主题 Char"/>
    <w:basedOn w:val="31"/>
    <w:link w:val="5"/>
    <w:semiHidden/>
    <w:qFormat/>
    <w:uiPriority w:val="99"/>
    <w:rPr>
      <w:rFonts w:ascii="Times New Roman" w:hAnsi="Times New Roman" w:eastAsia="宋体" w:cs="Times New Roman"/>
      <w:b/>
      <w:bCs/>
      <w:szCs w:val="20"/>
    </w:rPr>
  </w:style>
  <w:style w:type="character" w:customStyle="1" w:styleId="38">
    <w:name w:val="title1"/>
    <w:qFormat/>
    <w:uiPriority w:val="0"/>
    <w:rPr>
      <w:b/>
      <w:bCs/>
      <w:color w:val="999900"/>
      <w:sz w:val="24"/>
      <w:szCs w:val="24"/>
    </w:rPr>
  </w:style>
  <w:style w:type="paragraph" w:customStyle="1" w:styleId="39">
    <w:name w:val="TOC 标题1"/>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40">
    <w:name w:val="标题 3 Char"/>
    <w:basedOn w:val="17"/>
    <w:link w:val="4"/>
    <w:semiHidden/>
    <w:qFormat/>
    <w:uiPriority w:val="9"/>
    <w:rPr>
      <w:b/>
      <w:bCs/>
      <w:kern w:val="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364</Words>
  <Characters>2080</Characters>
  <Lines>17</Lines>
  <Paragraphs>4</Paragraphs>
  <TotalTime>0</TotalTime>
  <ScaleCrop>false</ScaleCrop>
  <LinksUpToDate>false</LinksUpToDate>
  <CharactersWithSpaces>2440</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2023-02-20T04:27:00Z</dcterms:created>
  <dc:creator>胡胜链</dc:creator>
  <cp:lastModifiedBy>叶春洁</cp:lastModifiedBy>
  <cp:lastPrinted>2022-01-25T09:53:00Z</cp:lastPrinted>
  <dcterms:modified xsi:type="dcterms:W3CDTF">2023-02-25T06:14:02Z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y fmtid="{D5CDD505-2E9C-101B-9397-08002B2CF9AE}" pid="3" name="ICV">
    <vt:lpwstr>7415A875B6C34A36A16A6087D0DEB524</vt:lpwstr>
  </property>
</Properties>
</file>